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FD" w:rsidRPr="0009387A" w:rsidRDefault="001B71FD" w:rsidP="005D3B65">
      <w:pPr>
        <w:pStyle w:val="1"/>
        <w:spacing w:before="0" w:line="240" w:lineRule="auto"/>
        <w:jc w:val="center"/>
        <w:rPr>
          <w:rFonts w:ascii="Comic Sans MS" w:eastAsia="Times New Roman" w:hAnsi="Comic Sans MS" w:cs="Arial"/>
          <w:color w:val="C00000"/>
          <w:kern w:val="36"/>
          <w:sz w:val="36"/>
          <w:szCs w:val="36"/>
          <w:lang w:eastAsia="ru-RU"/>
        </w:rPr>
      </w:pPr>
      <w:r w:rsidRPr="0009387A">
        <w:rPr>
          <w:rFonts w:ascii="Comic Sans MS" w:eastAsia="Times New Roman" w:hAnsi="Comic Sans MS" w:cs="Arial"/>
          <w:color w:val="C00000"/>
          <w:kern w:val="36"/>
          <w:sz w:val="36"/>
          <w:szCs w:val="36"/>
          <w:lang w:eastAsia="ru-RU"/>
        </w:rPr>
        <w:t>Консультация «О взаимодействии дошкольного образовательного учреждения и семьи»</w:t>
      </w:r>
    </w:p>
    <w:p w:rsidR="001B71FD" w:rsidRPr="005D3B65" w:rsidRDefault="001B71FD" w:rsidP="005D3B65">
      <w:pPr>
        <w:spacing w:after="0" w:line="240" w:lineRule="auto"/>
        <w:ind w:firstLine="708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Общеизвестно, что детство – уникальный период в жизни человека, в процессе которого формируется здоровье и осуществляется развитие личности. Из детства ребенок выносит то, что сохраняется потом всю жизнь.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Семья дает ребенку главное – то, что не может дать никакой социальный институт: интимно – личностную связь и исходное единство с родными. В начале пути рядом с беззащитным и доверчивым малышом находятся самые главные люди в его жизни, родители. Благодаря их любви, заботе, эмоциональной близости ребенок растет и развивается, у него возникает чувство доверия к миру и окружающим его взрослым.</w:t>
      </w:r>
    </w:p>
    <w:p w:rsidR="001B71FD" w:rsidRPr="005D3B65" w:rsidRDefault="001B71FD" w:rsidP="005D3B65">
      <w:pPr>
        <w:spacing w:after="0" w:line="240" w:lineRule="auto"/>
        <w:ind w:firstLine="708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На определенном отрезке «дороги» дошкольного детства ребенок поступает в детский сад. Это событие влечет за собой значительные изменения в его жизни. Теперь его окружают новые люди: взрослые, дети, которых он раньше не знал, и которые составляют новую общность.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Крепко держась за руки родителей, он пытается доверчиво протянуть свою маленькую ладошку воспитателю.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С этого момента идти малышу по дороге своего детства, становится легче и труднее.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Легче, если родители и воспитатели объединят свои усилия и обеспечат малышу двойную защиту, эмоциональный комфорт.</w:t>
      </w:r>
    </w:p>
    <w:p w:rsidR="001B71FD" w:rsidRPr="005D3B65" w:rsidRDefault="001B71FD" w:rsidP="005D3B65">
      <w:pPr>
        <w:spacing w:after="0" w:line="240" w:lineRule="auto"/>
        <w:ind w:firstLine="708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Участие семьи в речевом развитии ребенка начинается с момента прихода его в детский сад. Уже на этом этапе, и во время последующих встреч необходимо убедить родителей в том, как значима их роль в речевом развитии ребенка.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Для правильного эффективного воздействия на формирования речи ребенка, родителям необходимо учесть следующие моменты, которые происходят в процессе взаимодействия педагога и родителей по трем направлениям:</w:t>
      </w:r>
    </w:p>
    <w:p w:rsidR="001B71FD" w:rsidRPr="005D3B65" w:rsidRDefault="001B71FD" w:rsidP="005D3B65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Охватить все стороны речи (произношение, словарь, грамматический строй и связную речь).</w:t>
      </w:r>
    </w:p>
    <w:p w:rsidR="001B71FD" w:rsidRPr="005D3B65" w:rsidRDefault="001B71FD" w:rsidP="005D3B65">
      <w:pPr>
        <w:numPr>
          <w:ilvl w:val="0"/>
          <w:numId w:val="2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Ориентироваться в первую очередь на индивидуальные особенности развития речи ребенка, а не только возрастные.</w:t>
      </w:r>
    </w:p>
    <w:p w:rsidR="001B71FD" w:rsidRPr="005D3B65" w:rsidRDefault="001B71FD" w:rsidP="005D3B65">
      <w:pPr>
        <w:numPr>
          <w:ilvl w:val="0"/>
          <w:numId w:val="3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Тесная взаимосвязь с другими видами жизнедеятельности ребенка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В течени</w:t>
      </w:r>
      <w:proofErr w:type="gramStart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и</w:t>
      </w:r>
      <w:proofErr w:type="gramEnd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 учебного года (один раз в три месяца) педагогу необходимо проводить обследование речи ребенка по следующим разделам:</w:t>
      </w:r>
    </w:p>
    <w:p w:rsidR="001B71FD" w:rsidRPr="005D3B65" w:rsidRDefault="001B71FD" w:rsidP="005D3B65">
      <w:pPr>
        <w:numPr>
          <w:ilvl w:val="0"/>
          <w:numId w:val="4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Служит ли речь, как средство общения взрослого и ребенка.</w:t>
      </w:r>
    </w:p>
    <w:p w:rsidR="001B71FD" w:rsidRPr="005D3B65" w:rsidRDefault="001B71FD" w:rsidP="005D3B65">
      <w:pPr>
        <w:numPr>
          <w:ilvl w:val="0"/>
          <w:numId w:val="4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Общается ли ребенок посредством фразовой речи.</w:t>
      </w:r>
    </w:p>
    <w:p w:rsidR="001B71FD" w:rsidRPr="005D3B65" w:rsidRDefault="001B71FD" w:rsidP="005D3B65">
      <w:pPr>
        <w:numPr>
          <w:ilvl w:val="0"/>
          <w:numId w:val="4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Понятна ли речь окружающим.</w:t>
      </w:r>
    </w:p>
    <w:p w:rsidR="001B71FD" w:rsidRPr="005D3B65" w:rsidRDefault="001B71FD" w:rsidP="005D3B65">
      <w:pPr>
        <w:numPr>
          <w:ilvl w:val="0"/>
          <w:numId w:val="4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Словарь.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При обследовании речи ребенка можно использовать рекомендации </w:t>
      </w:r>
      <w:proofErr w:type="spellStart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М.Ф.Фомичевой</w:t>
      </w:r>
      <w:proofErr w:type="spellEnd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 «Воспитание у детей правильного произношения». Для обследования ребенка использовать предметные и сюжетные картинки, лото, </w:t>
      </w: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lastRenderedPageBreak/>
        <w:t>дидактические упражнения: «Кто как кричит», «Что изменилось», «Кто спрятался за домиком» и др.</w:t>
      </w:r>
    </w:p>
    <w:p w:rsidR="001B71FD" w:rsidRPr="005D3B65" w:rsidRDefault="001B71FD" w:rsidP="005D3B65">
      <w:pPr>
        <w:spacing w:after="0" w:line="240" w:lineRule="auto"/>
        <w:ind w:firstLine="708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А также необходимо обследовать развитие мелкой моторики рук, с которой теснейшим образом связано нормальное речевое развитие ребенка.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Цель обследования: выявление уровня речевого развития каждого ребенка, определение результативности работы по речевому развитию ребенка.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Результаты работы доводятся до сведения каждого родителя (индивидуальные беседы)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В течение года проводится анкетирование с родителями: «Знает ли Ваш ребенок?»</w:t>
      </w:r>
    </w:p>
    <w:p w:rsidR="001B71FD" w:rsidRPr="005D3B65" w:rsidRDefault="005D3B65" w:rsidP="005D3B65">
      <w:pPr>
        <w:numPr>
          <w:ilvl w:val="0"/>
          <w:numId w:val="5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С</w:t>
      </w:r>
      <w:r w:rsidR="001B71FD"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уществительны</w:t>
      </w:r>
      <w:r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е</w:t>
      </w:r>
      <w:r w:rsidR="001B71FD"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 и художественн</w:t>
      </w:r>
      <w:r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ую</w:t>
      </w:r>
      <w:r w:rsidR="001B71FD"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 литератур</w:t>
      </w:r>
      <w:r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у</w:t>
      </w:r>
    </w:p>
    <w:p w:rsidR="001B71FD" w:rsidRPr="005D3B65" w:rsidRDefault="001B71FD" w:rsidP="005D3B65">
      <w:pPr>
        <w:numPr>
          <w:ilvl w:val="0"/>
          <w:numId w:val="5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Глаголы</w:t>
      </w:r>
    </w:p>
    <w:p w:rsidR="001B71FD" w:rsidRPr="0009387A" w:rsidRDefault="001B71FD" w:rsidP="0009387A">
      <w:pPr>
        <w:numPr>
          <w:ilvl w:val="0"/>
          <w:numId w:val="5"/>
        </w:numPr>
        <w:spacing w:after="0" w:line="240" w:lineRule="auto"/>
        <w:ind w:left="375" w:right="375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Прилагательные</w:t>
      </w:r>
      <w:r w:rsidR="0009387A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   и  </w:t>
      </w:r>
      <w:r w:rsidRPr="0009387A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Наречия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Это позволит определить наиболее оптимальные формы взаимодействия детского сада и семьи. Возможно, кому-то из родителей покажется простым – их малыш уже знает это и умеет значительно больше. А кого-то может огорчить, что их ребенок пока отстает и уделить больше внимания малышу. Необходимо учитывать все высказывания или пожелания родителей по результатам анкетирования.</w:t>
      </w:r>
    </w:p>
    <w:p w:rsidR="001B71FD" w:rsidRPr="005D3B65" w:rsidRDefault="001B71FD" w:rsidP="005D3B65">
      <w:pPr>
        <w:spacing w:after="0" w:line="240" w:lineRule="auto"/>
        <w:ind w:firstLine="708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При работе с родителями большую помощь оказывает «Домашняя игротека». Она знакомит родителей с играми, игровыми упражнениями, заданиями на закрепление различных навыков. «Домашняя игротека» предлагается родителям через дневник, индивидуально отведенную страничку на каждого ребенка.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Например, для развития мелкой моторики рук, учитывая загруженность родителей ежедневными домашними делами, можно предложить следующие дидактические игры на кухне: «Помогаю маме перебрать горох, фасоль и др.», «Давай искать на кухне слова», «Доскажи словечко» (игра на обогащение словаря), «Упрямые слова», слова, которые не изменяются </w:t>
      </w:r>
      <w:proofErr w:type="gramStart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( </w:t>
      </w:r>
      <w:proofErr w:type="gramEnd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кино, пальто, платье, кофе, какао).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«Домашнюю игротеку» необходимо предлагать родителям ненавязчиво, тактично.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Индивидуально, на родительских собраниях необходимо поощрять тех родителей, которые работают в контакте с детским садом, заинтересованы, как живет их ребенок, развивается в детском саду.</w:t>
      </w:r>
    </w:p>
    <w:p w:rsidR="001B71FD" w:rsidRPr="005D3B65" w:rsidRDefault="001B71FD" w:rsidP="005D3B65">
      <w:pPr>
        <w:spacing w:after="0" w:line="240" w:lineRule="auto"/>
        <w:ind w:firstLine="708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Таким образом, сотрудничество детского сада и семьи в воспитании ребенка в целях его целостного развития разворачивается как совместная деятельность партнеров – субъектов в форме параллельного действия, последовательного содействия, взаимного дополнения и координации, согласования ценностной ориентации и интересов, выполняемых социальных ролей.</w:t>
      </w:r>
    </w:p>
    <w:p w:rsidR="001B71FD" w:rsidRPr="005D3B65" w:rsidRDefault="001B71FD" w:rsidP="005D3B65">
      <w:pPr>
        <w:spacing w:after="0" w:line="240" w:lineRule="auto"/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</w:pPr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u w:val="single"/>
          <w:lang w:eastAsia="ru-RU"/>
        </w:rPr>
        <w:t xml:space="preserve">Использование методической литературы: </w:t>
      </w:r>
      <w:r w:rsidR="0009387A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  </w:t>
      </w:r>
      <w:proofErr w:type="spellStart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М.Ф.Фом</w:t>
      </w:r>
      <w:r w:rsidR="0009387A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и</w:t>
      </w:r>
      <w:bookmarkStart w:id="0" w:name="_GoBack"/>
      <w:bookmarkEnd w:id="0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>чева</w:t>
      </w:r>
      <w:proofErr w:type="spellEnd"/>
      <w:r w:rsidRPr="005D3B65">
        <w:rPr>
          <w:rFonts w:ascii="Comic Sans MS" w:eastAsia="Times New Roman" w:hAnsi="Comic Sans MS" w:cs="Arial"/>
          <w:color w:val="365F91" w:themeColor="accent1" w:themeShade="BF"/>
          <w:sz w:val="24"/>
          <w:szCs w:val="24"/>
          <w:lang w:eastAsia="ru-RU"/>
        </w:rPr>
        <w:t xml:space="preserve"> «Воспитание у детей правильного произношения» Москва «Просвещение» 1989.</w:t>
      </w:r>
    </w:p>
    <w:p w:rsidR="00A7504F" w:rsidRPr="005D3B65" w:rsidRDefault="00A7504F" w:rsidP="005D3B65">
      <w:pPr>
        <w:spacing w:after="0" w:line="240" w:lineRule="auto"/>
        <w:rPr>
          <w:rFonts w:ascii="Comic Sans MS" w:hAnsi="Comic Sans MS"/>
          <w:color w:val="365F91" w:themeColor="accent1" w:themeShade="BF"/>
          <w:sz w:val="24"/>
          <w:szCs w:val="24"/>
        </w:rPr>
      </w:pPr>
    </w:p>
    <w:sectPr w:rsidR="00A7504F" w:rsidRPr="005D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ABE"/>
    <w:multiLevelType w:val="multilevel"/>
    <w:tmpl w:val="621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10632"/>
    <w:multiLevelType w:val="multilevel"/>
    <w:tmpl w:val="D25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F34D1"/>
    <w:multiLevelType w:val="multilevel"/>
    <w:tmpl w:val="F7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407C6"/>
    <w:multiLevelType w:val="multilevel"/>
    <w:tmpl w:val="C310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355AA"/>
    <w:multiLevelType w:val="multilevel"/>
    <w:tmpl w:val="254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F9"/>
    <w:rsid w:val="0009387A"/>
    <w:rsid w:val="001B71FD"/>
    <w:rsid w:val="005D3B65"/>
    <w:rsid w:val="006C3FF9"/>
    <w:rsid w:val="00A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FD"/>
  </w:style>
  <w:style w:type="paragraph" w:styleId="1">
    <w:name w:val="heading 1"/>
    <w:basedOn w:val="a"/>
    <w:next w:val="a"/>
    <w:link w:val="10"/>
    <w:uiPriority w:val="9"/>
    <w:qFormat/>
    <w:rsid w:val="001B7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FD"/>
  </w:style>
  <w:style w:type="paragraph" w:styleId="1">
    <w:name w:val="heading 1"/>
    <w:basedOn w:val="a"/>
    <w:next w:val="a"/>
    <w:link w:val="10"/>
    <w:uiPriority w:val="9"/>
    <w:qFormat/>
    <w:rsid w:val="001B7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ds11-user1</dc:creator>
  <cp:keywords/>
  <dc:description/>
  <cp:lastModifiedBy>ds11-user1</cp:lastModifiedBy>
  <cp:revision>6</cp:revision>
  <dcterms:created xsi:type="dcterms:W3CDTF">2013-05-29T06:31:00Z</dcterms:created>
  <dcterms:modified xsi:type="dcterms:W3CDTF">2014-02-26T14:07:00Z</dcterms:modified>
</cp:coreProperties>
</file>